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32" w:rsidRPr="00336EFB" w:rsidRDefault="00BC5032" w:rsidP="00BC5032">
      <w:pPr>
        <w:pStyle w:val="10"/>
        <w:rPr>
          <w:rFonts w:ascii="仿宋" w:eastAsia="仿宋" w:hAnsi="仿宋"/>
        </w:rPr>
      </w:pPr>
      <w:bookmarkStart w:id="0" w:name="_Toc491293339"/>
      <w:r w:rsidRPr="00336EFB">
        <w:rPr>
          <w:rFonts w:ascii="仿宋" w:eastAsia="仿宋" w:hAnsi="仿宋" w:hint="eastAsia"/>
        </w:rPr>
        <w:t>附件</w:t>
      </w:r>
      <w:r>
        <w:rPr>
          <w:rFonts w:ascii="仿宋" w:eastAsia="仿宋" w:hAnsi="仿宋" w:hint="eastAsia"/>
        </w:rPr>
        <w:t xml:space="preserve">        </w:t>
      </w:r>
      <w:r w:rsidRPr="00336EFB">
        <w:rPr>
          <w:rFonts w:ascii="仿宋" w:eastAsia="仿宋" w:hAnsi="仿宋" w:hint="eastAsia"/>
        </w:rPr>
        <w:t>防火门产品认证实施细则修订内容</w:t>
      </w:r>
      <w:bookmarkEnd w:id="0"/>
      <w:r>
        <w:rPr>
          <w:rFonts w:ascii="仿宋" w:eastAsia="仿宋" w:hAnsi="仿宋" w:hint="eastAsia"/>
        </w:rPr>
        <w:t>示例</w:t>
      </w:r>
    </w:p>
    <w:tbl>
      <w:tblPr>
        <w:tblW w:w="9040" w:type="dxa"/>
        <w:jc w:val="center"/>
        <w:tblInd w:w="1495" w:type="dxa"/>
        <w:tblBorders>
          <w:top w:val="single" w:sz="4" w:space="0" w:color="auto"/>
          <w:left w:val="single" w:sz="4" w:space="0" w:color="auto"/>
          <w:bottom w:val="single" w:sz="4" w:space="0" w:color="auto"/>
          <w:right w:val="single" w:sz="4" w:space="0" w:color="auto"/>
        </w:tblBorders>
        <w:tblLayout w:type="fixed"/>
        <w:tblLook w:val="0000"/>
      </w:tblPr>
      <w:tblGrid>
        <w:gridCol w:w="1247"/>
        <w:gridCol w:w="2158"/>
        <w:gridCol w:w="3365"/>
        <w:gridCol w:w="2270"/>
      </w:tblGrid>
      <w:tr w:rsidR="00BC5032" w:rsidRPr="00336EFB" w:rsidTr="001844FF">
        <w:trPr>
          <w:cantSplit/>
          <w:trHeight w:val="493"/>
          <w:jc w:val="center"/>
        </w:trPr>
        <w:tc>
          <w:tcPr>
            <w:tcW w:w="1247" w:type="dxa"/>
            <w:vMerge w:val="restart"/>
            <w:tcBorders>
              <w:top w:val="single" w:sz="4" w:space="0" w:color="auto"/>
              <w:left w:val="single" w:sz="4" w:space="0" w:color="auto"/>
              <w:right w:val="single" w:sz="4" w:space="0" w:color="auto"/>
            </w:tcBorders>
            <w:vAlign w:val="center"/>
          </w:tcPr>
          <w:p w:rsidR="00BC5032" w:rsidRPr="00336EFB" w:rsidRDefault="00BC5032" w:rsidP="001844FF">
            <w:pPr>
              <w:spacing w:line="400" w:lineRule="exact"/>
              <w:jc w:val="center"/>
              <w:rPr>
                <w:rFonts w:ascii="仿宋" w:eastAsia="仿宋" w:hAnsi="仿宋" w:cs="宋体"/>
                <w:kern w:val="0"/>
                <w:sz w:val="24"/>
              </w:rPr>
            </w:pPr>
            <w:r w:rsidRPr="00336EFB">
              <w:rPr>
                <w:rFonts w:ascii="仿宋" w:eastAsia="仿宋" w:hAnsi="仿宋" w:cs="宋体" w:hint="eastAsia"/>
                <w:kern w:val="0"/>
                <w:sz w:val="24"/>
              </w:rPr>
              <w:t>防火门</w:t>
            </w:r>
          </w:p>
        </w:tc>
        <w:tc>
          <w:tcPr>
            <w:tcW w:w="2158" w:type="dxa"/>
            <w:tcBorders>
              <w:top w:val="single" w:sz="4" w:space="0" w:color="auto"/>
              <w:left w:val="single" w:sz="4" w:space="0" w:color="auto"/>
              <w:bottom w:val="single" w:sz="4" w:space="0" w:color="auto"/>
              <w:right w:val="single" w:sz="4" w:space="0" w:color="auto"/>
            </w:tcBorders>
            <w:vAlign w:val="center"/>
          </w:tcPr>
          <w:p w:rsidR="00BC5032" w:rsidRPr="00336EFB" w:rsidRDefault="00BC5032" w:rsidP="001844FF">
            <w:pPr>
              <w:autoSpaceDE w:val="0"/>
              <w:autoSpaceDN w:val="0"/>
              <w:adjustRightInd w:val="0"/>
              <w:snapToGrid w:val="0"/>
              <w:spacing w:line="400" w:lineRule="exact"/>
              <w:jc w:val="center"/>
              <w:rPr>
                <w:rFonts w:ascii="仿宋" w:eastAsia="仿宋" w:hAnsi="仿宋" w:cs="宋体"/>
                <w:kern w:val="0"/>
                <w:sz w:val="24"/>
              </w:rPr>
            </w:pPr>
            <w:r w:rsidRPr="00336EFB">
              <w:rPr>
                <w:rFonts w:ascii="仿宋" w:eastAsia="仿宋" w:hAnsi="仿宋" w:cs="宋体" w:hint="eastAsia"/>
                <w:kern w:val="0"/>
                <w:sz w:val="24"/>
              </w:rPr>
              <w:t>钢质隔热防火门</w:t>
            </w:r>
          </w:p>
        </w:tc>
        <w:tc>
          <w:tcPr>
            <w:tcW w:w="3365" w:type="dxa"/>
            <w:vMerge w:val="restart"/>
            <w:tcBorders>
              <w:top w:val="single" w:sz="4" w:space="0" w:color="auto"/>
              <w:left w:val="single" w:sz="4" w:space="0" w:color="auto"/>
              <w:right w:val="single" w:sz="4" w:space="0" w:color="auto"/>
            </w:tcBorders>
            <w:vAlign w:val="center"/>
          </w:tcPr>
          <w:p w:rsidR="00BC5032" w:rsidRPr="00336EFB" w:rsidRDefault="00BC5032" w:rsidP="001844FF">
            <w:pPr>
              <w:snapToGrid w:val="0"/>
              <w:spacing w:line="400" w:lineRule="exact"/>
              <w:jc w:val="left"/>
              <w:rPr>
                <w:rFonts w:ascii="仿宋" w:eastAsia="仿宋" w:hAnsi="仿宋" w:cs="宋体"/>
                <w:kern w:val="0"/>
                <w:sz w:val="24"/>
              </w:rPr>
            </w:pPr>
            <w:r w:rsidRPr="00336EFB">
              <w:rPr>
                <w:rFonts w:ascii="仿宋" w:eastAsia="仿宋" w:hAnsi="仿宋" w:cs="宋体" w:hint="eastAsia"/>
                <w:kern w:val="0"/>
                <w:sz w:val="24"/>
              </w:rPr>
              <w:t>同一类别、同一耐火性能等级且关键结构、关键材料、关键工艺基本相同的防火门作为同一认证单元，其中结构最具代表性的防火门中外形尺寸最大的视为单元内典型产品。</w:t>
            </w:r>
          </w:p>
        </w:tc>
        <w:tc>
          <w:tcPr>
            <w:tcW w:w="2270" w:type="dxa"/>
            <w:vMerge w:val="restart"/>
            <w:tcBorders>
              <w:top w:val="single" w:sz="4" w:space="0" w:color="auto"/>
              <w:left w:val="single" w:sz="4" w:space="0" w:color="auto"/>
              <w:right w:val="single" w:sz="4" w:space="0" w:color="auto"/>
            </w:tcBorders>
            <w:vAlign w:val="center"/>
          </w:tcPr>
          <w:p w:rsidR="00BC5032" w:rsidRPr="00336EFB" w:rsidRDefault="00BC5032" w:rsidP="001844FF">
            <w:pPr>
              <w:snapToGrid w:val="0"/>
              <w:spacing w:line="400" w:lineRule="exact"/>
              <w:jc w:val="center"/>
              <w:rPr>
                <w:rFonts w:ascii="仿宋" w:eastAsia="仿宋" w:hAnsi="仿宋" w:cs="宋体"/>
                <w:kern w:val="0"/>
                <w:sz w:val="24"/>
              </w:rPr>
            </w:pPr>
            <w:r w:rsidRPr="00336EFB">
              <w:rPr>
                <w:rFonts w:ascii="仿宋" w:eastAsia="仿宋" w:hAnsi="仿宋" w:cs="宋体" w:hint="eastAsia"/>
                <w:kern w:val="0"/>
                <w:sz w:val="24"/>
              </w:rPr>
              <w:t>GB 12955-2008</w:t>
            </w:r>
          </w:p>
        </w:tc>
      </w:tr>
      <w:tr w:rsidR="00BC5032" w:rsidRPr="00336EFB" w:rsidTr="001844FF">
        <w:trPr>
          <w:cantSplit/>
          <w:trHeight w:val="415"/>
          <w:jc w:val="center"/>
        </w:trPr>
        <w:tc>
          <w:tcPr>
            <w:tcW w:w="1247" w:type="dxa"/>
            <w:vMerge/>
            <w:tcBorders>
              <w:left w:val="single" w:sz="4" w:space="0" w:color="auto"/>
              <w:right w:val="single" w:sz="4" w:space="0" w:color="auto"/>
            </w:tcBorders>
            <w:vAlign w:val="center"/>
          </w:tcPr>
          <w:p w:rsidR="00BC5032" w:rsidRPr="00336EFB" w:rsidRDefault="00BC5032" w:rsidP="001844FF">
            <w:pPr>
              <w:snapToGrid w:val="0"/>
              <w:spacing w:line="400" w:lineRule="exact"/>
              <w:jc w:val="center"/>
              <w:rPr>
                <w:rFonts w:ascii="仿宋" w:eastAsia="仿宋" w:hAnsi="仿宋" w:cs="宋体"/>
                <w:kern w:val="0"/>
                <w:sz w:val="24"/>
              </w:rPr>
            </w:pPr>
          </w:p>
        </w:tc>
        <w:tc>
          <w:tcPr>
            <w:tcW w:w="2158" w:type="dxa"/>
            <w:tcBorders>
              <w:top w:val="single" w:sz="4" w:space="0" w:color="auto"/>
              <w:left w:val="single" w:sz="4" w:space="0" w:color="auto"/>
              <w:bottom w:val="single" w:sz="4" w:space="0" w:color="auto"/>
              <w:right w:val="single" w:sz="4" w:space="0" w:color="auto"/>
            </w:tcBorders>
            <w:vAlign w:val="center"/>
          </w:tcPr>
          <w:p w:rsidR="00BC5032" w:rsidRPr="00336EFB" w:rsidRDefault="00BC5032" w:rsidP="001844FF">
            <w:pPr>
              <w:autoSpaceDE w:val="0"/>
              <w:autoSpaceDN w:val="0"/>
              <w:adjustRightInd w:val="0"/>
              <w:snapToGrid w:val="0"/>
              <w:spacing w:line="400" w:lineRule="exact"/>
              <w:jc w:val="center"/>
              <w:rPr>
                <w:rFonts w:ascii="仿宋" w:eastAsia="仿宋" w:hAnsi="仿宋" w:cs="宋体"/>
                <w:kern w:val="0"/>
                <w:sz w:val="24"/>
              </w:rPr>
            </w:pPr>
            <w:r w:rsidRPr="00336EFB">
              <w:rPr>
                <w:rFonts w:ascii="仿宋" w:eastAsia="仿宋" w:hAnsi="仿宋" w:cs="宋体" w:hint="eastAsia"/>
                <w:kern w:val="0"/>
                <w:sz w:val="24"/>
              </w:rPr>
              <w:t>木质隔热防火门</w:t>
            </w:r>
          </w:p>
        </w:tc>
        <w:tc>
          <w:tcPr>
            <w:tcW w:w="3365" w:type="dxa"/>
            <w:vMerge/>
            <w:tcBorders>
              <w:left w:val="single" w:sz="4" w:space="0" w:color="auto"/>
              <w:right w:val="single" w:sz="4" w:space="0" w:color="auto"/>
            </w:tcBorders>
            <w:vAlign w:val="center"/>
          </w:tcPr>
          <w:p w:rsidR="00BC5032" w:rsidRPr="00336EFB" w:rsidRDefault="00BC5032" w:rsidP="001844FF">
            <w:pPr>
              <w:snapToGrid w:val="0"/>
              <w:spacing w:line="400" w:lineRule="exact"/>
              <w:jc w:val="left"/>
              <w:rPr>
                <w:rFonts w:ascii="仿宋" w:eastAsia="仿宋" w:hAnsi="仿宋" w:cs="宋体"/>
                <w:kern w:val="0"/>
                <w:sz w:val="24"/>
              </w:rPr>
            </w:pPr>
          </w:p>
        </w:tc>
        <w:tc>
          <w:tcPr>
            <w:tcW w:w="2270" w:type="dxa"/>
            <w:vMerge/>
            <w:tcBorders>
              <w:left w:val="single" w:sz="4" w:space="0" w:color="auto"/>
              <w:right w:val="single" w:sz="4" w:space="0" w:color="auto"/>
            </w:tcBorders>
            <w:vAlign w:val="center"/>
          </w:tcPr>
          <w:p w:rsidR="00BC5032" w:rsidRPr="00336EFB" w:rsidRDefault="00BC5032" w:rsidP="001844FF">
            <w:pPr>
              <w:snapToGrid w:val="0"/>
              <w:spacing w:line="400" w:lineRule="exact"/>
              <w:jc w:val="center"/>
              <w:rPr>
                <w:rFonts w:ascii="仿宋" w:eastAsia="仿宋" w:hAnsi="仿宋" w:cs="宋体"/>
                <w:kern w:val="0"/>
                <w:sz w:val="24"/>
              </w:rPr>
            </w:pPr>
          </w:p>
        </w:tc>
      </w:tr>
      <w:tr w:rsidR="00BC5032" w:rsidRPr="00336EFB" w:rsidTr="001844FF">
        <w:trPr>
          <w:cantSplit/>
          <w:trHeight w:val="421"/>
          <w:jc w:val="center"/>
        </w:trPr>
        <w:tc>
          <w:tcPr>
            <w:tcW w:w="1247" w:type="dxa"/>
            <w:vMerge/>
            <w:tcBorders>
              <w:left w:val="single" w:sz="4" w:space="0" w:color="auto"/>
              <w:right w:val="single" w:sz="4" w:space="0" w:color="auto"/>
            </w:tcBorders>
            <w:vAlign w:val="center"/>
          </w:tcPr>
          <w:p w:rsidR="00BC5032" w:rsidRPr="00336EFB" w:rsidRDefault="00BC5032" w:rsidP="001844FF">
            <w:pPr>
              <w:snapToGrid w:val="0"/>
              <w:spacing w:line="400" w:lineRule="exact"/>
              <w:jc w:val="center"/>
              <w:rPr>
                <w:rFonts w:ascii="仿宋" w:eastAsia="仿宋" w:hAnsi="仿宋" w:cs="宋体"/>
                <w:kern w:val="0"/>
                <w:sz w:val="24"/>
              </w:rPr>
            </w:pPr>
          </w:p>
        </w:tc>
        <w:tc>
          <w:tcPr>
            <w:tcW w:w="2158" w:type="dxa"/>
            <w:tcBorders>
              <w:top w:val="single" w:sz="4" w:space="0" w:color="auto"/>
              <w:left w:val="single" w:sz="4" w:space="0" w:color="auto"/>
              <w:bottom w:val="single" w:sz="4" w:space="0" w:color="auto"/>
              <w:right w:val="single" w:sz="4" w:space="0" w:color="auto"/>
            </w:tcBorders>
            <w:vAlign w:val="center"/>
          </w:tcPr>
          <w:p w:rsidR="00BC5032" w:rsidRPr="00336EFB" w:rsidRDefault="00BC5032" w:rsidP="001844FF">
            <w:pPr>
              <w:autoSpaceDE w:val="0"/>
              <w:autoSpaceDN w:val="0"/>
              <w:adjustRightInd w:val="0"/>
              <w:snapToGrid w:val="0"/>
              <w:spacing w:line="400" w:lineRule="exact"/>
              <w:jc w:val="center"/>
              <w:rPr>
                <w:rFonts w:ascii="仿宋" w:eastAsia="仿宋" w:hAnsi="仿宋" w:cs="宋体"/>
                <w:kern w:val="0"/>
                <w:sz w:val="24"/>
              </w:rPr>
            </w:pPr>
            <w:r w:rsidRPr="00336EFB">
              <w:rPr>
                <w:rFonts w:ascii="仿宋" w:eastAsia="仿宋" w:hAnsi="仿宋" w:cs="宋体" w:hint="eastAsia"/>
                <w:kern w:val="0"/>
                <w:sz w:val="24"/>
              </w:rPr>
              <w:t>钢木质隔热防火门</w:t>
            </w:r>
          </w:p>
        </w:tc>
        <w:tc>
          <w:tcPr>
            <w:tcW w:w="3365" w:type="dxa"/>
            <w:vMerge/>
            <w:tcBorders>
              <w:left w:val="single" w:sz="4" w:space="0" w:color="auto"/>
              <w:right w:val="single" w:sz="4" w:space="0" w:color="auto"/>
            </w:tcBorders>
            <w:vAlign w:val="center"/>
          </w:tcPr>
          <w:p w:rsidR="00BC5032" w:rsidRPr="00336EFB" w:rsidRDefault="00BC5032" w:rsidP="001844FF">
            <w:pPr>
              <w:snapToGrid w:val="0"/>
              <w:spacing w:line="400" w:lineRule="exact"/>
              <w:jc w:val="left"/>
              <w:rPr>
                <w:rFonts w:ascii="仿宋" w:eastAsia="仿宋" w:hAnsi="仿宋" w:cs="宋体"/>
                <w:kern w:val="0"/>
                <w:sz w:val="24"/>
              </w:rPr>
            </w:pPr>
          </w:p>
        </w:tc>
        <w:tc>
          <w:tcPr>
            <w:tcW w:w="2270" w:type="dxa"/>
            <w:vMerge/>
            <w:tcBorders>
              <w:left w:val="single" w:sz="4" w:space="0" w:color="auto"/>
              <w:right w:val="single" w:sz="4" w:space="0" w:color="auto"/>
            </w:tcBorders>
            <w:vAlign w:val="center"/>
          </w:tcPr>
          <w:p w:rsidR="00BC5032" w:rsidRPr="00336EFB" w:rsidRDefault="00BC5032" w:rsidP="001844FF">
            <w:pPr>
              <w:snapToGrid w:val="0"/>
              <w:spacing w:line="400" w:lineRule="exact"/>
              <w:jc w:val="center"/>
              <w:rPr>
                <w:rFonts w:ascii="仿宋" w:eastAsia="仿宋" w:hAnsi="仿宋" w:cs="宋体"/>
                <w:kern w:val="0"/>
                <w:sz w:val="24"/>
              </w:rPr>
            </w:pPr>
          </w:p>
        </w:tc>
      </w:tr>
      <w:tr w:rsidR="00BC5032" w:rsidRPr="00336EFB" w:rsidTr="001844FF">
        <w:trPr>
          <w:cantSplit/>
          <w:trHeight w:val="580"/>
          <w:jc w:val="center"/>
        </w:trPr>
        <w:tc>
          <w:tcPr>
            <w:tcW w:w="1247" w:type="dxa"/>
            <w:vMerge/>
            <w:tcBorders>
              <w:left w:val="single" w:sz="4" w:space="0" w:color="auto"/>
              <w:bottom w:val="single" w:sz="4" w:space="0" w:color="auto"/>
              <w:right w:val="single" w:sz="4" w:space="0" w:color="auto"/>
            </w:tcBorders>
            <w:vAlign w:val="center"/>
          </w:tcPr>
          <w:p w:rsidR="00BC5032" w:rsidRPr="00336EFB" w:rsidRDefault="00BC5032" w:rsidP="001844FF">
            <w:pPr>
              <w:snapToGrid w:val="0"/>
              <w:spacing w:line="400" w:lineRule="exact"/>
              <w:jc w:val="center"/>
              <w:rPr>
                <w:rFonts w:ascii="仿宋" w:eastAsia="仿宋" w:hAnsi="仿宋" w:cs="宋体"/>
                <w:kern w:val="0"/>
                <w:sz w:val="24"/>
              </w:rPr>
            </w:pPr>
          </w:p>
        </w:tc>
        <w:tc>
          <w:tcPr>
            <w:tcW w:w="2158" w:type="dxa"/>
            <w:tcBorders>
              <w:top w:val="single" w:sz="4" w:space="0" w:color="auto"/>
              <w:left w:val="single" w:sz="4" w:space="0" w:color="auto"/>
              <w:bottom w:val="single" w:sz="4" w:space="0" w:color="auto"/>
              <w:right w:val="single" w:sz="4" w:space="0" w:color="auto"/>
            </w:tcBorders>
            <w:vAlign w:val="center"/>
          </w:tcPr>
          <w:p w:rsidR="00BC5032" w:rsidRPr="00336EFB" w:rsidRDefault="00BC5032" w:rsidP="001844FF">
            <w:pPr>
              <w:autoSpaceDE w:val="0"/>
              <w:autoSpaceDN w:val="0"/>
              <w:adjustRightInd w:val="0"/>
              <w:snapToGrid w:val="0"/>
              <w:spacing w:line="400" w:lineRule="exact"/>
              <w:jc w:val="center"/>
              <w:rPr>
                <w:rFonts w:ascii="仿宋" w:eastAsia="仿宋" w:hAnsi="仿宋" w:cs="宋体"/>
                <w:kern w:val="0"/>
                <w:sz w:val="24"/>
              </w:rPr>
            </w:pPr>
            <w:r w:rsidRPr="00336EFB">
              <w:rPr>
                <w:rFonts w:ascii="仿宋" w:eastAsia="仿宋" w:hAnsi="仿宋" w:cs="宋体" w:hint="eastAsia"/>
                <w:kern w:val="0"/>
                <w:sz w:val="24"/>
              </w:rPr>
              <w:t>其他材质隔热</w:t>
            </w:r>
          </w:p>
          <w:p w:rsidR="00BC5032" w:rsidRPr="00336EFB" w:rsidRDefault="00BC5032" w:rsidP="001844FF">
            <w:pPr>
              <w:autoSpaceDE w:val="0"/>
              <w:autoSpaceDN w:val="0"/>
              <w:adjustRightInd w:val="0"/>
              <w:snapToGrid w:val="0"/>
              <w:spacing w:line="400" w:lineRule="exact"/>
              <w:jc w:val="center"/>
              <w:rPr>
                <w:rFonts w:ascii="仿宋" w:eastAsia="仿宋" w:hAnsi="仿宋" w:cs="宋体"/>
                <w:kern w:val="0"/>
                <w:sz w:val="24"/>
              </w:rPr>
            </w:pPr>
            <w:r w:rsidRPr="00336EFB">
              <w:rPr>
                <w:rFonts w:ascii="仿宋" w:eastAsia="仿宋" w:hAnsi="仿宋" w:cs="宋体" w:hint="eastAsia"/>
                <w:kern w:val="0"/>
                <w:sz w:val="24"/>
              </w:rPr>
              <w:t>防火门</w:t>
            </w:r>
          </w:p>
        </w:tc>
        <w:tc>
          <w:tcPr>
            <w:tcW w:w="3365" w:type="dxa"/>
            <w:vMerge/>
            <w:tcBorders>
              <w:left w:val="single" w:sz="4" w:space="0" w:color="auto"/>
              <w:bottom w:val="single" w:sz="4" w:space="0" w:color="auto"/>
              <w:right w:val="single" w:sz="4" w:space="0" w:color="auto"/>
            </w:tcBorders>
            <w:vAlign w:val="center"/>
          </w:tcPr>
          <w:p w:rsidR="00BC5032" w:rsidRPr="00336EFB" w:rsidRDefault="00BC5032" w:rsidP="001844FF">
            <w:pPr>
              <w:snapToGrid w:val="0"/>
              <w:spacing w:line="400" w:lineRule="exact"/>
              <w:jc w:val="left"/>
              <w:rPr>
                <w:rFonts w:ascii="仿宋" w:eastAsia="仿宋" w:hAnsi="仿宋" w:cs="宋体"/>
                <w:kern w:val="0"/>
                <w:sz w:val="24"/>
              </w:rPr>
            </w:pPr>
          </w:p>
        </w:tc>
        <w:tc>
          <w:tcPr>
            <w:tcW w:w="2270" w:type="dxa"/>
            <w:vMerge/>
            <w:tcBorders>
              <w:left w:val="single" w:sz="4" w:space="0" w:color="auto"/>
              <w:bottom w:val="single" w:sz="4" w:space="0" w:color="auto"/>
              <w:right w:val="single" w:sz="4" w:space="0" w:color="auto"/>
            </w:tcBorders>
            <w:vAlign w:val="center"/>
          </w:tcPr>
          <w:p w:rsidR="00BC5032" w:rsidRPr="00336EFB" w:rsidRDefault="00BC5032" w:rsidP="001844FF">
            <w:pPr>
              <w:snapToGrid w:val="0"/>
              <w:spacing w:line="400" w:lineRule="exact"/>
              <w:jc w:val="center"/>
              <w:rPr>
                <w:rFonts w:ascii="仿宋" w:eastAsia="仿宋" w:hAnsi="仿宋" w:cs="宋体"/>
                <w:kern w:val="0"/>
                <w:sz w:val="24"/>
              </w:rPr>
            </w:pPr>
          </w:p>
        </w:tc>
      </w:tr>
    </w:tbl>
    <w:p w:rsidR="00BC5032" w:rsidRPr="00336EFB" w:rsidRDefault="00BC5032" w:rsidP="00BC5032">
      <w:pPr>
        <w:spacing w:line="400" w:lineRule="exact"/>
        <w:rPr>
          <w:rFonts w:ascii="仿宋" w:eastAsia="仿宋" w:hAnsi="仿宋" w:cs="宋体"/>
          <w:b/>
          <w:kern w:val="0"/>
          <w:sz w:val="28"/>
          <w:szCs w:val="28"/>
        </w:rPr>
      </w:pPr>
      <w:r w:rsidRPr="00336EFB">
        <w:rPr>
          <w:rFonts w:ascii="仿宋" w:eastAsia="仿宋" w:hAnsi="仿宋" w:cs="宋体" w:hint="eastAsia"/>
          <w:b/>
          <w:kern w:val="0"/>
          <w:sz w:val="28"/>
          <w:szCs w:val="28"/>
        </w:rPr>
        <w:t>隔热防火门单元划分原则说明</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 xml:space="preserve">    企业根据生产特点和产品特点，自行划分单元范围</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 xml:space="preserve">1 </w:t>
      </w:r>
      <w:r>
        <w:rPr>
          <w:rFonts w:ascii="仿宋" w:eastAsia="仿宋" w:hAnsi="仿宋" w:cs="宋体" w:hint="eastAsia"/>
          <w:kern w:val="0"/>
          <w:sz w:val="28"/>
          <w:szCs w:val="28"/>
        </w:rPr>
        <w:t>、</w:t>
      </w:r>
      <w:r w:rsidRPr="00336EFB">
        <w:rPr>
          <w:rFonts w:ascii="仿宋" w:eastAsia="仿宋" w:hAnsi="仿宋" w:cs="宋体" w:hint="eastAsia"/>
          <w:kern w:val="0"/>
          <w:sz w:val="28"/>
          <w:szCs w:val="28"/>
        </w:rPr>
        <w:t>结构最具代表性的防火门中外形尺寸最大的视为单元内典型产品</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 xml:space="preserve">2 </w:t>
      </w:r>
      <w:r>
        <w:rPr>
          <w:rFonts w:ascii="仿宋" w:eastAsia="仿宋" w:hAnsi="仿宋" w:cs="宋体" w:hint="eastAsia"/>
          <w:kern w:val="0"/>
          <w:sz w:val="28"/>
          <w:szCs w:val="28"/>
        </w:rPr>
        <w:t>、</w:t>
      </w:r>
      <w:r w:rsidRPr="00336EFB">
        <w:rPr>
          <w:rFonts w:ascii="仿宋" w:eastAsia="仿宋" w:hAnsi="仿宋" w:cs="宋体" w:hint="eastAsia"/>
          <w:kern w:val="0"/>
          <w:sz w:val="28"/>
          <w:szCs w:val="28"/>
        </w:rPr>
        <w:t>类别按GB 12955-2008标准规定进行划分</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3</w:t>
      </w:r>
      <w:r>
        <w:rPr>
          <w:rFonts w:ascii="仿宋" w:eastAsia="仿宋" w:hAnsi="仿宋" w:cs="宋体" w:hint="eastAsia"/>
          <w:kern w:val="0"/>
          <w:sz w:val="28"/>
          <w:szCs w:val="28"/>
        </w:rPr>
        <w:t>、</w:t>
      </w:r>
      <w:r w:rsidRPr="00336EFB">
        <w:rPr>
          <w:rFonts w:ascii="仿宋" w:eastAsia="仿宋" w:hAnsi="仿宋" w:cs="宋体" w:hint="eastAsia"/>
          <w:kern w:val="0"/>
          <w:sz w:val="28"/>
          <w:szCs w:val="28"/>
        </w:rPr>
        <w:t>耐火等级是指A0.50（丙级）、A1.00（乙级）、A1.50（甲级）、A2.00、A3.00。</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 xml:space="preserve">4 </w:t>
      </w:r>
      <w:r>
        <w:rPr>
          <w:rFonts w:ascii="仿宋" w:eastAsia="仿宋" w:hAnsi="仿宋" w:cs="宋体" w:hint="eastAsia"/>
          <w:kern w:val="0"/>
          <w:sz w:val="28"/>
          <w:szCs w:val="28"/>
        </w:rPr>
        <w:t>、</w:t>
      </w:r>
      <w:r w:rsidRPr="00336EFB">
        <w:rPr>
          <w:rFonts w:ascii="仿宋" w:eastAsia="仿宋" w:hAnsi="仿宋" w:cs="宋体" w:hint="eastAsia"/>
          <w:kern w:val="0"/>
          <w:sz w:val="28"/>
          <w:szCs w:val="28"/>
        </w:rPr>
        <w:t>防火门认证单元内的产品关键结构、关键材料、关键工艺应保持基本相同。 具体内容包括：</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（1）防火门门扇数量；</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（2）门框及门扇的主要构造形式及加工工艺（包括是否带有封窗或亮窗）</w:t>
      </w:r>
    </w:p>
    <w:p w:rsidR="00BC5032" w:rsidRPr="00336EFB" w:rsidRDefault="00BC5032" w:rsidP="00BC5032">
      <w:pPr>
        <w:snapToGrid w:val="0"/>
        <w:spacing w:line="400" w:lineRule="exact"/>
        <w:rPr>
          <w:rFonts w:ascii="仿宋" w:eastAsia="仿宋" w:hAnsi="仿宋" w:cs="宋体"/>
          <w:kern w:val="0"/>
          <w:sz w:val="24"/>
          <w:szCs w:val="24"/>
        </w:rPr>
      </w:pPr>
      <w:r w:rsidRPr="00336EFB">
        <w:rPr>
          <w:rFonts w:ascii="仿宋" w:eastAsia="仿宋" w:hAnsi="仿宋" w:cs="宋体" w:hint="eastAsia"/>
          <w:kern w:val="0"/>
          <w:sz w:val="24"/>
        </w:rPr>
        <w:t xml:space="preserve">    </w:t>
      </w:r>
      <w:r w:rsidRPr="00336EFB">
        <w:rPr>
          <w:rFonts w:ascii="仿宋" w:eastAsia="仿宋" w:hAnsi="仿宋" w:cs="宋体" w:hint="eastAsia"/>
          <w:kern w:val="0"/>
          <w:sz w:val="24"/>
          <w:szCs w:val="24"/>
        </w:rPr>
        <w:t>注：1、带造型的防火门和不带造型防火门（平板门）可划分在同一单元中，扇、框关键结构基本相同。（例：GFM-1022-dk5A1.00(乙级)-1-带造型和GFM-1022-dk5A1.00(乙级)-1）。</w:t>
      </w:r>
    </w:p>
    <w:p w:rsidR="00BC5032" w:rsidRPr="00336EFB" w:rsidRDefault="00BC5032" w:rsidP="00BC5032">
      <w:pPr>
        <w:snapToGrid w:val="0"/>
        <w:spacing w:line="400" w:lineRule="exact"/>
        <w:rPr>
          <w:rFonts w:ascii="仿宋" w:eastAsia="仿宋" w:hAnsi="仿宋" w:cs="宋体"/>
          <w:kern w:val="0"/>
          <w:sz w:val="24"/>
          <w:szCs w:val="24"/>
        </w:rPr>
      </w:pPr>
      <w:r w:rsidRPr="00336EFB">
        <w:rPr>
          <w:rFonts w:ascii="仿宋" w:eastAsia="仿宋" w:hAnsi="仿宋" w:cs="宋体" w:hint="eastAsia"/>
          <w:kern w:val="0"/>
          <w:sz w:val="24"/>
          <w:szCs w:val="24"/>
        </w:rPr>
        <w:t xml:space="preserve">   </w:t>
      </w:r>
      <w:r w:rsidRPr="00336EFB">
        <w:rPr>
          <w:rFonts w:ascii="仿宋" w:eastAsia="仿宋" w:hAnsi="仿宋" w:cs="宋体" w:hint="eastAsia"/>
          <w:kern w:val="0"/>
          <w:sz w:val="24"/>
        </w:rPr>
        <w:t xml:space="preserve">   </w:t>
      </w:r>
      <w:r w:rsidRPr="00336EFB">
        <w:rPr>
          <w:rFonts w:ascii="仿宋" w:eastAsia="仿宋" w:hAnsi="仿宋" w:cs="宋体" w:hint="eastAsia"/>
          <w:kern w:val="0"/>
          <w:sz w:val="24"/>
          <w:szCs w:val="24"/>
        </w:rPr>
        <w:t xml:space="preserve"> 2、密封件设置作为门框及门扇的主要构造形式之一。</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（3）门扇厚度和门框侧壁宽度；</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（4）门扇内填充材料的材料种类、型号规格（若有时）、填充工艺；</w:t>
      </w:r>
    </w:p>
    <w:p w:rsidR="00BC5032" w:rsidRPr="00336EFB" w:rsidRDefault="00BC5032" w:rsidP="00BC5032">
      <w:pPr>
        <w:snapToGrid w:val="0"/>
        <w:spacing w:line="400" w:lineRule="exact"/>
        <w:rPr>
          <w:rFonts w:ascii="仿宋" w:eastAsia="仿宋" w:hAnsi="仿宋" w:cs="宋体"/>
          <w:kern w:val="0"/>
          <w:sz w:val="24"/>
          <w:szCs w:val="24"/>
        </w:rPr>
      </w:pPr>
      <w:r w:rsidRPr="00336EFB">
        <w:rPr>
          <w:rFonts w:ascii="仿宋" w:eastAsia="仿宋" w:hAnsi="仿宋" w:cs="宋体" w:hint="eastAsia"/>
          <w:kern w:val="0"/>
          <w:sz w:val="24"/>
        </w:rPr>
        <w:t xml:space="preserve">    </w:t>
      </w:r>
      <w:r w:rsidRPr="00336EFB">
        <w:rPr>
          <w:rFonts w:ascii="仿宋" w:eastAsia="仿宋" w:hAnsi="仿宋" w:cs="宋体" w:hint="eastAsia"/>
          <w:kern w:val="0"/>
          <w:sz w:val="24"/>
          <w:szCs w:val="24"/>
        </w:rPr>
        <w:t>注：填充材料的工艺以企业自行申报为准；</w:t>
      </w:r>
    </w:p>
    <w:p w:rsidR="00BC5032" w:rsidRPr="00336EFB" w:rsidRDefault="00BC5032" w:rsidP="00BC5032">
      <w:pPr>
        <w:snapToGrid w:val="0"/>
        <w:spacing w:line="400" w:lineRule="exact"/>
        <w:rPr>
          <w:rFonts w:ascii="仿宋" w:eastAsia="仿宋" w:hAnsi="仿宋" w:cs="宋体"/>
          <w:kern w:val="0"/>
          <w:sz w:val="24"/>
          <w:szCs w:val="24"/>
        </w:rPr>
      </w:pPr>
      <w:r w:rsidRPr="00336EFB">
        <w:rPr>
          <w:rFonts w:ascii="仿宋" w:eastAsia="仿宋" w:hAnsi="仿宋" w:cs="宋体" w:hint="eastAsia"/>
          <w:kern w:val="0"/>
          <w:sz w:val="24"/>
        </w:rPr>
        <w:t xml:space="preserve">        </w:t>
      </w:r>
      <w:r w:rsidRPr="00336EFB">
        <w:rPr>
          <w:rFonts w:ascii="仿宋" w:eastAsia="仿宋" w:hAnsi="仿宋" w:cs="宋体" w:hint="eastAsia"/>
          <w:kern w:val="0"/>
          <w:sz w:val="24"/>
          <w:szCs w:val="24"/>
        </w:rPr>
        <w:t>不同生产商填充材料其技术性能、质量指标、规格型号等一致时，可以等效采用。</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（5）单元内含带门镜防火门产品时，一般选取带门镜产品为典型产品；</w:t>
      </w:r>
    </w:p>
    <w:p w:rsidR="00BC5032" w:rsidRPr="00336EFB"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（6）允许门的骨架和加强筋、门的铰链在基于安全性的前提下调整，但应有说明和自我验证证明，并经认证机构确认。</w:t>
      </w:r>
    </w:p>
    <w:p w:rsidR="00951916" w:rsidRPr="00BC5032" w:rsidRDefault="00BC5032" w:rsidP="00BC5032">
      <w:pPr>
        <w:snapToGrid w:val="0"/>
        <w:spacing w:line="400" w:lineRule="exact"/>
        <w:rPr>
          <w:rFonts w:ascii="仿宋" w:eastAsia="仿宋" w:hAnsi="仿宋" w:cs="宋体"/>
          <w:kern w:val="0"/>
          <w:sz w:val="28"/>
          <w:szCs w:val="28"/>
        </w:rPr>
      </w:pPr>
      <w:r w:rsidRPr="00336EFB">
        <w:rPr>
          <w:rFonts w:ascii="仿宋" w:eastAsia="仿宋" w:hAnsi="仿宋" w:cs="宋体" w:hint="eastAsia"/>
          <w:kern w:val="0"/>
          <w:sz w:val="28"/>
          <w:szCs w:val="28"/>
        </w:rPr>
        <w:t>5</w:t>
      </w:r>
      <w:r>
        <w:rPr>
          <w:rFonts w:ascii="仿宋" w:eastAsia="仿宋" w:hAnsi="仿宋" w:cs="宋体" w:hint="eastAsia"/>
          <w:kern w:val="0"/>
          <w:sz w:val="28"/>
          <w:szCs w:val="28"/>
        </w:rPr>
        <w:t>、</w:t>
      </w:r>
      <w:r w:rsidRPr="00336EFB">
        <w:rPr>
          <w:rFonts w:ascii="仿宋" w:eastAsia="仿宋" w:hAnsi="仿宋" w:cs="宋体" w:hint="eastAsia"/>
          <w:kern w:val="0"/>
          <w:sz w:val="28"/>
          <w:szCs w:val="28"/>
        </w:rPr>
        <w:t>允许生产者完全采信已获认证的产品设计方案、生产制造工艺路径 、相同型号规格原材料及关键件等开展生产，经认证机构确认生产者及生产厂的工厂质量</w:t>
      </w:r>
      <w:r>
        <w:rPr>
          <w:rFonts w:ascii="仿宋" w:eastAsia="仿宋" w:hAnsi="仿宋" w:cs="宋体" w:hint="eastAsia"/>
          <w:kern w:val="0"/>
          <w:sz w:val="28"/>
          <w:szCs w:val="28"/>
        </w:rPr>
        <w:t>保证</w:t>
      </w:r>
      <w:r w:rsidRPr="00336EFB">
        <w:rPr>
          <w:rFonts w:ascii="仿宋" w:eastAsia="仿宋" w:hAnsi="仿宋" w:cs="宋体" w:hint="eastAsia"/>
          <w:kern w:val="0"/>
          <w:sz w:val="28"/>
          <w:szCs w:val="28"/>
        </w:rPr>
        <w:t>能力符合要求后，可以免除耐火试验。</w:t>
      </w:r>
    </w:p>
    <w:sectPr w:rsidR="00951916" w:rsidRPr="00BC5032" w:rsidSect="00951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5032"/>
    <w:rsid w:val="00951916"/>
    <w:rsid w:val="00BC5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32"/>
    <w:pPr>
      <w:widowControl w:val="0"/>
      <w:jc w:val="both"/>
    </w:pPr>
  </w:style>
  <w:style w:type="paragraph" w:styleId="1">
    <w:name w:val="heading 1"/>
    <w:basedOn w:val="a"/>
    <w:next w:val="a"/>
    <w:link w:val="1Char"/>
    <w:uiPriority w:val="9"/>
    <w:qFormat/>
    <w:rsid w:val="00BC50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标题 1 + 方正仿宋简体 四号"/>
    <w:basedOn w:val="1"/>
    <w:link w:val="1Char0"/>
    <w:rsid w:val="00BC5032"/>
    <w:pPr>
      <w:spacing w:before="100" w:beforeAutospacing="1" w:after="100" w:afterAutospacing="1" w:line="400" w:lineRule="exact"/>
    </w:pPr>
    <w:rPr>
      <w:rFonts w:ascii="方正仿宋简体" w:eastAsia="方正仿宋简体" w:hAnsi="方正仿宋简体" w:cs="Times New Roman"/>
      <w:sz w:val="28"/>
    </w:rPr>
  </w:style>
  <w:style w:type="character" w:customStyle="1" w:styleId="1Char0">
    <w:name w:val="样式 标题 1 + 方正仿宋简体 四号 Char"/>
    <w:basedOn w:val="1Char"/>
    <w:link w:val="10"/>
    <w:rsid w:val="00BC5032"/>
    <w:rPr>
      <w:rFonts w:ascii="方正仿宋简体" w:eastAsia="方正仿宋简体" w:hAnsi="方正仿宋简体" w:cs="Times New Roman"/>
      <w:sz w:val="28"/>
    </w:rPr>
  </w:style>
  <w:style w:type="character" w:customStyle="1" w:styleId="1Char">
    <w:name w:val="标题 1 Char"/>
    <w:basedOn w:val="a0"/>
    <w:link w:val="1"/>
    <w:uiPriority w:val="9"/>
    <w:rsid w:val="00BC5032"/>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2019-03-19T03:00:00Z</dcterms:created>
  <dcterms:modified xsi:type="dcterms:W3CDTF">2019-03-19T03:01:00Z</dcterms:modified>
</cp:coreProperties>
</file>